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675" w:rsidRPr="00F13169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DB4675" w:rsidRPr="00F13169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</w:t>
      </w:r>
    </w:p>
    <w:p w:rsidR="00DB4675" w:rsidRPr="00F13169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сада  № 39 </w:t>
      </w:r>
    </w:p>
    <w:p w:rsidR="00DB4675" w:rsidRPr="00F13169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г. Пензы «Гнездышко»</w:t>
      </w:r>
    </w:p>
    <w:p w:rsidR="00DB4675" w:rsidRPr="00F13169" w:rsidRDefault="00DB4675" w:rsidP="00DB46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___________С. В. Мелиханова</w:t>
      </w:r>
    </w:p>
    <w:p w:rsidR="00270089" w:rsidRDefault="00DB4675" w:rsidP="00DB4675">
      <w:pPr>
        <w:jc w:val="right"/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DB4675" w:rsidRDefault="00DB4675" w:rsidP="00E36BCB">
      <w:pPr>
        <w:ind w:firstLine="709"/>
        <w:jc w:val="center"/>
        <w:rPr>
          <w:rFonts w:ascii="Times New Roman" w:eastAsia="Times New Roman" w:hAnsi="Times New Roman"/>
          <w:b/>
          <w:color w:val="22272F"/>
          <w:sz w:val="28"/>
          <w:szCs w:val="28"/>
        </w:rPr>
      </w:pPr>
    </w:p>
    <w:p w:rsidR="00E36BCB" w:rsidRDefault="00E36BCB" w:rsidP="00E36BCB">
      <w:pPr>
        <w:ind w:firstLine="709"/>
        <w:jc w:val="center"/>
        <w:rPr>
          <w:rFonts w:ascii="Times New Roman" w:eastAsia="Times New Roman" w:hAnsi="Times New Roman"/>
          <w:b/>
          <w:color w:val="22272F"/>
          <w:sz w:val="28"/>
          <w:szCs w:val="28"/>
        </w:rPr>
      </w:pPr>
      <w:r w:rsidRPr="00CE20C1">
        <w:rPr>
          <w:rFonts w:ascii="Times New Roman" w:eastAsia="Times New Roman" w:hAnsi="Times New Roman"/>
          <w:b/>
          <w:color w:val="22272F"/>
          <w:sz w:val="28"/>
          <w:szCs w:val="28"/>
        </w:rPr>
        <w:t xml:space="preserve">Реестр (карта) коррупционных рисков </w:t>
      </w:r>
      <w:r w:rsidR="00DB4675">
        <w:rPr>
          <w:rFonts w:ascii="Times New Roman" w:eastAsia="Times New Roman" w:hAnsi="Times New Roman"/>
          <w:b/>
          <w:color w:val="22272F"/>
          <w:sz w:val="28"/>
          <w:szCs w:val="28"/>
        </w:rPr>
        <w:t>МБДОУ детского сада № 39 г</w:t>
      </w:r>
      <w:proofErr w:type="gramStart"/>
      <w:r w:rsidR="00DB4675">
        <w:rPr>
          <w:rFonts w:ascii="Times New Roman" w:eastAsia="Times New Roman" w:hAnsi="Times New Roman"/>
          <w:b/>
          <w:color w:val="22272F"/>
          <w:sz w:val="28"/>
          <w:szCs w:val="28"/>
        </w:rPr>
        <w:t>.П</w:t>
      </w:r>
      <w:proofErr w:type="gramEnd"/>
      <w:r w:rsidR="00DB4675">
        <w:rPr>
          <w:rFonts w:ascii="Times New Roman" w:eastAsia="Times New Roman" w:hAnsi="Times New Roman"/>
          <w:b/>
          <w:color w:val="22272F"/>
          <w:sz w:val="28"/>
          <w:szCs w:val="28"/>
        </w:rPr>
        <w:t>ензы «Гнездышко»</w:t>
      </w:r>
      <w:r w:rsidRPr="00CE20C1">
        <w:rPr>
          <w:rFonts w:ascii="Times New Roman" w:eastAsia="Times New Roman" w:hAnsi="Times New Roman"/>
          <w:b/>
          <w:color w:val="22272F"/>
          <w:sz w:val="28"/>
          <w:szCs w:val="28"/>
        </w:rPr>
        <w:br/>
        <w:t xml:space="preserve">по состоянию на </w:t>
      </w:r>
      <w:r w:rsidR="00DB4675">
        <w:rPr>
          <w:rFonts w:ascii="Times New Roman" w:eastAsia="Times New Roman" w:hAnsi="Times New Roman"/>
          <w:b/>
          <w:color w:val="22272F"/>
          <w:sz w:val="28"/>
          <w:szCs w:val="28"/>
        </w:rPr>
        <w:t>10.07.2020 г.</w:t>
      </w:r>
    </w:p>
    <w:p w:rsidR="00E36BCB" w:rsidRDefault="00E36BCB" w:rsidP="00E36BCB">
      <w:pPr>
        <w:ind w:firstLine="709"/>
        <w:jc w:val="center"/>
        <w:rPr>
          <w:rFonts w:ascii="Times New Roman" w:eastAsia="Times New Roman" w:hAnsi="Times New Roman"/>
          <w:b/>
          <w:color w:val="22272F"/>
          <w:sz w:val="28"/>
          <w:szCs w:val="28"/>
        </w:rPr>
      </w:pPr>
    </w:p>
    <w:p w:rsidR="00E36BCB" w:rsidRPr="00CE20C1" w:rsidRDefault="00E36BCB" w:rsidP="00E36BCB">
      <w:pPr>
        <w:ind w:firstLine="709"/>
        <w:jc w:val="center"/>
        <w:rPr>
          <w:rFonts w:ascii="Times New Roman" w:eastAsia="Times New Roman" w:hAnsi="Times New Roman"/>
          <w:b/>
          <w:color w:val="22272F"/>
          <w:sz w:val="28"/>
          <w:szCs w:val="28"/>
        </w:rPr>
      </w:pPr>
    </w:p>
    <w:p w:rsidR="00E36BCB" w:rsidRPr="00CB39BF" w:rsidRDefault="00E36BCB" w:rsidP="00E36BCB">
      <w:pPr>
        <w:ind w:firstLine="709"/>
        <w:jc w:val="center"/>
        <w:rPr>
          <w:rFonts w:ascii="Times New Roman" w:eastAsia="Times New Roman" w:hAnsi="Times New Roman"/>
          <w:b/>
          <w:color w:val="22272F"/>
          <w:sz w:val="20"/>
          <w:szCs w:val="20"/>
        </w:rPr>
      </w:pPr>
    </w:p>
    <w:tbl>
      <w:tblPr>
        <w:tblW w:w="150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8"/>
        <w:gridCol w:w="2409"/>
        <w:gridCol w:w="2412"/>
        <w:gridCol w:w="2551"/>
        <w:gridCol w:w="2409"/>
        <w:gridCol w:w="2552"/>
      </w:tblGrid>
      <w:tr w:rsidR="00E36BCB" w:rsidRPr="00730B26" w:rsidTr="003E1743">
        <w:trPr>
          <w:trHeight w:val="1150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36338F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36338F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Критическая точка, процедура (действие)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36338F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возможной коррупционной схемы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6BCB" w:rsidRPr="0036338F" w:rsidRDefault="00E36BCB" w:rsidP="0036338F">
            <w:pPr>
              <w:pStyle w:val="1"/>
              <w:shd w:val="clear" w:color="auto" w:fill="auto"/>
              <w:spacing w:after="0" w:line="240" w:lineRule="auto"/>
              <w:ind w:right="12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6338F">
              <w:rPr>
                <w:color w:val="000000"/>
                <w:sz w:val="24"/>
                <w:szCs w:val="24"/>
                <w:lang w:eastAsia="ru-RU"/>
              </w:rPr>
              <w:t>Вероятность</w:t>
            </w:r>
          </w:p>
          <w:p w:rsidR="00E36BCB" w:rsidRPr="0036338F" w:rsidRDefault="00E36BCB" w:rsidP="0036338F">
            <w:pPr>
              <w:ind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риска и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36338F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 работника, деятельность которого связана с коррупционными рисками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E36BCB" w:rsidRPr="0036338F" w:rsidRDefault="00E36BCB" w:rsidP="003633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Меры по минимизации рисков в критической точке</w:t>
            </w:r>
          </w:p>
        </w:tc>
      </w:tr>
      <w:tr w:rsidR="00471BA8" w:rsidRPr="00730B26" w:rsidTr="003E1743">
        <w:trPr>
          <w:trHeight w:val="1109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Default="00DB4675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ДОУ</w:t>
            </w:r>
          </w:p>
          <w:p w:rsidR="00FA1D25" w:rsidRPr="0036338F" w:rsidRDefault="00FA1D25" w:rsidP="00363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FA1D25" w:rsidRDefault="008570CA" w:rsidP="00AC0A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2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36338F" w:rsidRPr="00FA1D25">
              <w:rPr>
                <w:rFonts w:ascii="Times New Roman" w:hAnsi="Times New Roman" w:cs="Times New Roman"/>
                <w:sz w:val="24"/>
                <w:szCs w:val="24"/>
              </w:rPr>
              <w:t>локальных</w:t>
            </w:r>
            <w:r w:rsidRPr="00FA1D25">
              <w:rPr>
                <w:rFonts w:ascii="Times New Roman" w:hAnsi="Times New Roman" w:cs="Times New Roman"/>
                <w:sz w:val="24"/>
                <w:szCs w:val="24"/>
              </w:rPr>
              <w:t xml:space="preserve"> актов, содержащих коррупционные факторы, </w:t>
            </w:r>
            <w:r w:rsidR="00FA1D25" w:rsidRPr="00FA1D2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не предусмотренных законом преимуществ (протекционизм, семейственность) при разработке графика </w:t>
            </w:r>
            <w:r w:rsidR="00FA1D25" w:rsidRPr="00FA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графика отпусков, режима труда и отдыха работников</w:t>
            </w:r>
            <w:r w:rsidR="00AC0A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36338F" w:rsidRDefault="00E36BCB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8570CA" w:rsidRPr="003633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</w:t>
            </w:r>
            <w:r w:rsidR="008570CA" w:rsidRPr="003633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либо иной личной заинтересованности</w:t>
            </w:r>
            <w:r w:rsidR="0036338F" w:rsidRPr="00363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BCB" w:rsidRPr="0036338F" w:rsidRDefault="00E36BCB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6BCB" w:rsidRPr="0036338F" w:rsidRDefault="0036338F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Высокая вероятность и значительный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6BCB" w:rsidRPr="0036338F" w:rsidRDefault="001B5EDF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E36BCB" w:rsidRPr="0036338F" w:rsidRDefault="00E36BCB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36BCB" w:rsidRPr="0036338F" w:rsidRDefault="00E36BCB" w:rsidP="0036338F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6338F" w:rsidRPr="00E377A5" w:rsidRDefault="0036338F" w:rsidP="00E37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7A5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ДОУ,</w:t>
            </w:r>
          </w:p>
          <w:p w:rsidR="0036338F" w:rsidRPr="008C374D" w:rsidRDefault="00E377A5" w:rsidP="00E377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24" w:hanging="2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6338F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облюдение учрежденной </w:t>
            </w:r>
            <w:proofErr w:type="spellStart"/>
            <w:r w:rsidR="0036338F" w:rsidRPr="008C374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36338F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ДОУ,</w:t>
            </w:r>
          </w:p>
          <w:p w:rsidR="00E36BCB" w:rsidRPr="0036338F" w:rsidRDefault="00E377A5" w:rsidP="00E427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338F" w:rsidRPr="008C374D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азъяснение работникам ДОУ мер ответственности за совершение </w:t>
            </w:r>
            <w:r w:rsidR="0036338F" w:rsidRPr="008C3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  <w:r w:rsidR="00E42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4675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AC0AFB" w:rsidRDefault="00B459F6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Кадровая работа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36338F" w:rsidRDefault="002F68D7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Принятие на работу сотрудников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3788" w:rsidRDefault="007D3788" w:rsidP="007D37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374D">
              <w:rPr>
                <w:rFonts w:ascii="Times New Roman" w:hAnsi="Times New Roman" w:cs="Times New Roman"/>
                <w:sz w:val="24"/>
                <w:szCs w:val="24"/>
              </w:rPr>
              <w:t>Предоставление не предусмотренных законом преимуществ (протекционизм, семейственность) для поступления на работу в ДОУ</w:t>
            </w:r>
            <w:r w:rsidR="009C7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4675" w:rsidRPr="0036338F" w:rsidRDefault="00DB4675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9C791F" w:rsidRDefault="002F68D7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91F">
              <w:rPr>
                <w:rFonts w:ascii="Times New Roman" w:hAnsi="Times New Roman" w:cs="Times New Roman"/>
                <w:sz w:val="24"/>
                <w:szCs w:val="24"/>
              </w:rPr>
              <w:t>Средняя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7D3788" w:rsidRDefault="002F68D7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338F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675" w:rsidRPr="007D3788" w:rsidRDefault="007D3788" w:rsidP="007D378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788">
              <w:rPr>
                <w:rFonts w:ascii="Times New Roman" w:hAnsi="Times New Roman" w:cs="Times New Roman"/>
                <w:sz w:val="24"/>
                <w:szCs w:val="24"/>
              </w:rPr>
              <w:t>Подача заявки в ЦЗН о вакансиях. Размещение информации о вакансии учредителю. Проведение собеседования при приеме на работу. Разъяснение работникам учреждения обязанности незамедлительно сообщить руководителю о склонении его к совершению коррупционного правонарушения и мер ответственности за совершение коррупционных правонарушений.</w:t>
            </w:r>
          </w:p>
        </w:tc>
      </w:tr>
      <w:tr w:rsidR="00471BA8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459F6" w:rsidRPr="009C791F" w:rsidRDefault="00B459F6" w:rsidP="00B459F6">
            <w:pPr>
              <w:autoSpaceDE w:val="0"/>
              <w:autoSpaceDN w:val="0"/>
              <w:adjustRightInd w:val="0"/>
              <w:ind w:left="142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1F">
              <w:rPr>
                <w:rFonts w:ascii="Times New Roman" w:hAnsi="Times New Roman" w:cs="Times New Roman"/>
                <w:sz w:val="24"/>
                <w:szCs w:val="24"/>
              </w:rPr>
              <w:t xml:space="preserve">Защита сведений, составляющих охраняемую законом тайну, информации ограниченного </w:t>
            </w:r>
            <w:r w:rsidRPr="009C7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доступа.</w:t>
            </w:r>
          </w:p>
          <w:p w:rsidR="00DB4675" w:rsidRPr="0036338F" w:rsidRDefault="00DB4675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504A08" w:rsidRDefault="00FA1D25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со служебной информацией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4675" w:rsidRPr="00504A08" w:rsidRDefault="00FA1D25" w:rsidP="00FA1D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08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личных или групповых интересах информации, полученной при </w:t>
            </w:r>
            <w:r w:rsidRPr="0050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выполнении служебных обязанностей, если такая информация не подлежит официальному распространению. Попытка несанкционированного доступа к информационным ресурсам.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4675" w:rsidRPr="00504A08" w:rsidRDefault="00504A08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Средняя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4A08" w:rsidRPr="00504A08" w:rsidRDefault="00504A08" w:rsidP="00504A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заместитель заведующего, начальник хозяйственного </w:t>
            </w:r>
            <w:r w:rsidRPr="00504A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</w:t>
            </w:r>
            <w:r w:rsidR="00B72186">
              <w:rPr>
                <w:rFonts w:ascii="Times New Roman" w:eastAsia="Times New Roman" w:hAnsi="Times New Roman" w:cs="Times New Roman"/>
                <w:sz w:val="24"/>
                <w:szCs w:val="24"/>
              </w:rPr>
              <w:t>, главный бухгалтер, воспитатель.</w:t>
            </w:r>
          </w:p>
          <w:p w:rsidR="00DB4675" w:rsidRPr="00504A08" w:rsidRDefault="00DB4675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B4675" w:rsidRPr="00504A08" w:rsidRDefault="00504A08" w:rsidP="00504A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работников с локальными актами учреждения, регламентирующими </w:t>
            </w:r>
            <w:r w:rsidRPr="0050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предупреждения и противодействия коррупции, а так же разъяснение работникам учреждения мер ответственности за совершение коррупционных правонарушений. Соблюдение, утвержденной </w:t>
            </w:r>
            <w:proofErr w:type="spellStart"/>
            <w:r w:rsidRPr="00504A0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04A0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</w:t>
            </w:r>
          </w:p>
        </w:tc>
      </w:tr>
      <w:tr w:rsidR="00FA1D25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583AFC" w:rsidRDefault="00B459F6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социумом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D25" w:rsidRPr="00583AFC" w:rsidRDefault="00B459F6" w:rsidP="0058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Взаимоотношения с должностными лицами в органах власти и управления, правоохранительными органами, органами опеки и попечительства</w:t>
            </w:r>
            <w:r w:rsidR="00583AFC" w:rsidRPr="00583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583AFC" w:rsidRDefault="00B459F6" w:rsidP="0058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Дарение подарков и оказание не служебных услуг должностным лицам в органах власти и управления, правоохранительных органах, органах опеки и попечительства,</w:t>
            </w:r>
            <w:proofErr w:type="gramStart"/>
            <w:r w:rsidR="00583AFC"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символических знаков внимания, протокольных мероприятий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1D25" w:rsidRPr="00583AFC" w:rsidRDefault="00B459F6" w:rsidP="00B45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вероятность и потенциальный вред.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D25" w:rsidRPr="00583AFC" w:rsidRDefault="00B459F6" w:rsidP="0058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заведующего, начальник хозяйственного отдела, главный бухгалтер</w:t>
            </w:r>
            <w:r w:rsidR="00583AFC" w:rsidRPr="00583A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A1D25" w:rsidRPr="00583AFC" w:rsidRDefault="00B459F6" w:rsidP="0036338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583AFC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социумом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583AFC" w:rsidRDefault="003E1743" w:rsidP="0058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43">
              <w:rPr>
                <w:rFonts w:ascii="Times New Roman" w:hAnsi="Times New Roman" w:cs="Times New Roman"/>
                <w:sz w:val="24"/>
                <w:szCs w:val="24"/>
              </w:rPr>
              <w:t>Использование благотворительной и спонсорской помощи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583AFC" w:rsidRDefault="003E1743" w:rsidP="00583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1743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благотворительной и спонсорской помощи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583AFC" w:rsidRDefault="003E1743" w:rsidP="00B459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583AFC" w:rsidRDefault="003E1743" w:rsidP="00583A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743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заведующего, начальник хозяйственного отдела,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583AFC" w:rsidRDefault="003E1743" w:rsidP="00183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принятию решений представителей структурных подразделений. Соблюдение, утвержденной </w:t>
            </w:r>
            <w:proofErr w:type="spellStart"/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583AFC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471BA8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583AFC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использовании бюджетных средств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583AFC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583AFC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583AFC" w:rsidRDefault="003E1743" w:rsidP="001854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F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3E1743" w:rsidRDefault="003E1743" w:rsidP="00183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743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принятию решений представителей структурных подразделений. Соблюдение, утвержденной </w:t>
            </w:r>
            <w:proofErr w:type="spellStart"/>
            <w:r w:rsidRPr="003E1743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1743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</w:t>
            </w:r>
          </w:p>
        </w:tc>
      </w:tr>
      <w:tr w:rsidR="003E1743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33463E" w:rsidRDefault="0033463E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33463E" w:rsidRDefault="003E1743" w:rsidP="0031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63E">
              <w:rPr>
                <w:rFonts w:ascii="Times New Roman" w:hAnsi="Times New Roman" w:cs="Times New Roman"/>
                <w:sz w:val="24"/>
                <w:szCs w:val="24"/>
              </w:rPr>
              <w:t>Регистрация и учет  материальных ценностей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8C1333" w:rsidRDefault="008C1333" w:rsidP="0031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333">
              <w:rPr>
                <w:rFonts w:ascii="Times New Roman" w:hAnsi="Times New Roman" w:cs="Times New Roman"/>
                <w:sz w:val="24"/>
                <w:szCs w:val="24"/>
              </w:rPr>
              <w:t>Несвоевременная постановка на учет материальных ценностей,  умышленно досрочное списание материальных средств и расходных материалов с регистрационного учёта, отсутствие регулярного контроля наличия и сохранности имущества.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33463E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63E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33463E" w:rsidRDefault="003E1743" w:rsidP="003177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63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начальник хозяйст</w:t>
            </w:r>
            <w:r w:rsidR="0033463E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отдела, главный бухгалтер</w:t>
            </w:r>
            <w:r w:rsidRPr="003346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33463E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63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33463E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3463E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Ознакомление работников с нормативными документами учреждения, регламентирующими вопросы предупреждения и противодействия коррупции.</w:t>
            </w:r>
          </w:p>
        </w:tc>
      </w:tr>
      <w:tr w:rsidR="003E1743" w:rsidRPr="00730B26" w:rsidTr="002D3669">
        <w:trPr>
          <w:trHeight w:val="683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C20580" w:rsidRDefault="007745F9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C20580" w:rsidRDefault="003E1743" w:rsidP="00C9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закупок, заключение контрактов и договоров на поставку товаров, выполнение работ.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C20580" w:rsidRDefault="003E1743" w:rsidP="002D3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мониторинга цен на товары и услуги. Предоставление заведомо ложных сведений о проведении мониторинга цен на товары и услуги. Размещение заказов ответственным лицом </w:t>
            </w:r>
            <w:r w:rsidRPr="00C2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родственник. Прием выполнения работ (оказания услуг) не надлежащего качества. Заключение </w:t>
            </w:r>
            <w:r w:rsidR="002D3669">
              <w:rPr>
                <w:rFonts w:ascii="Times New Roman" w:hAnsi="Times New Roman" w:cs="Times New Roman"/>
                <w:sz w:val="24"/>
                <w:szCs w:val="24"/>
              </w:rPr>
              <w:t xml:space="preserve">договоров </w:t>
            </w: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 xml:space="preserve"> с подрядной организацией, не имеющей специального разрешения на проведение определенного вида работ. Необоснованное завышение стоимости рабо</w:t>
            </w:r>
            <w:r w:rsidR="002D366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 xml:space="preserve">, оказанных услуг, поставленных товаров. Необоснованное продление сроков поставки товаров, выполнения работ, оказания услуг по </w:t>
            </w:r>
            <w:r w:rsidR="002D3669">
              <w:rPr>
                <w:rFonts w:ascii="Times New Roman" w:hAnsi="Times New Roman" w:cs="Times New Roman"/>
                <w:sz w:val="24"/>
                <w:szCs w:val="24"/>
              </w:rPr>
              <w:t>договорам.</w:t>
            </w:r>
            <w:r w:rsidRPr="00C20580">
              <w:rPr>
                <w:rFonts w:ascii="Times New Roman" w:hAnsi="Times New Roman" w:cs="Times New Roman"/>
                <w:sz w:val="24"/>
                <w:szCs w:val="24"/>
              </w:rPr>
              <w:t xml:space="preserve"> Повторная </w:t>
            </w:r>
            <w:r w:rsidRPr="00C20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одних и тех же услуг, работ.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2D3669" w:rsidRDefault="002D3669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2D3669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66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2D3669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66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работников с нормативными документами учреждения, регламентирующими вопросы предупреждения и противодействия коррупции. Соблюдение, </w:t>
            </w:r>
            <w:r w:rsidRPr="002D3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</w:t>
            </w:r>
            <w:proofErr w:type="spellStart"/>
            <w:r w:rsidRPr="002D366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2D3669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Комиссионный прием результатов выполненных работ (поставленных товаров, оказанных услуг).</w:t>
            </w:r>
          </w:p>
        </w:tc>
      </w:tr>
      <w:tr w:rsidR="003E1743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7745F9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Финансовая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1D6A1A" w:rsidRDefault="003E1743" w:rsidP="00C9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Оплата труда и распределение стимулирующих выплат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3E1743" w:rsidP="00363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Оплата рабочего времени не в полном объеме. Оплата рабочего времени в полном объеме в случае, когда работник фактически отсутствовал на рабочем месте. Завышение (занижение) показателей по стимулирующим выплатам.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1D6A1A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вероятность и значительный потенциальный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председатель комиссии по распределению фонта стимулирования (заместитель заведующего), главный бухгалтер.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1D6A1A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правонарушений. Создание и работа комиссии по установлению стимулирующих выплат работникам в строгом соответствии с Положением об оплате труда и действующим законодательством.</w:t>
            </w:r>
          </w:p>
        </w:tc>
      </w:tr>
      <w:tr w:rsidR="003E1743" w:rsidRPr="00730B26" w:rsidTr="003E1743">
        <w:trPr>
          <w:trHeight w:val="142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7745F9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Контрольная  деятельность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1D6A1A" w:rsidRDefault="003E1743" w:rsidP="00C93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внутреннего контроля в учреждении.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3E1743" w:rsidP="00774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проведении мероприятий по внутреннему контролю выборочно в отношении отдельных структурных подразделений и </w:t>
            </w:r>
            <w:r w:rsidR="007745F9" w:rsidRPr="001D6A1A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. Не</w:t>
            </w:r>
            <w:r w:rsidR="007745F9"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отражение </w:t>
            </w:r>
            <w:proofErr w:type="gramStart"/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в акте о результатах мероприятий по внутреннему контролю выявленных нарушений в обмен на получен</w:t>
            </w:r>
            <w:r w:rsidR="007745F9" w:rsidRPr="001D6A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ое вознаграждение</w:t>
            </w:r>
            <w:proofErr w:type="gramEnd"/>
            <w:r w:rsidR="007745F9" w:rsidRPr="001D6A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1743" w:rsidRPr="001D6A1A" w:rsidRDefault="00EE3876" w:rsidP="00EE38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Средняя  вероятность и не значительный вред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1743" w:rsidRPr="001D6A1A" w:rsidRDefault="003E1743" w:rsidP="003633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 заместитель заведующего.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1743" w:rsidRPr="001D6A1A" w:rsidRDefault="003E1743" w:rsidP="00363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Соблюдение, утвержденной </w:t>
            </w:r>
            <w:proofErr w:type="spellStart"/>
            <w:r w:rsidRPr="001D6A1A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1D6A1A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учреждения. Разъяснение работникам учреждения мер ответственности за совершение коррупционных </w:t>
            </w:r>
            <w:r w:rsidRPr="001D6A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 Ознакомление работников с нормативными документами учреждения, регламентирующими вопросы предупреждения и противодействия коррупции.</w:t>
            </w:r>
          </w:p>
        </w:tc>
      </w:tr>
    </w:tbl>
    <w:p w:rsidR="00E36BCB" w:rsidRPr="00E36BCB" w:rsidRDefault="00E36BCB" w:rsidP="00E36BCB">
      <w:pPr>
        <w:jc w:val="both"/>
        <w:rPr>
          <w:rFonts w:ascii="Times New Roman" w:eastAsia="Times New Roman" w:hAnsi="Times New Roman"/>
          <w:color w:val="22272F"/>
          <w:sz w:val="20"/>
          <w:szCs w:val="20"/>
        </w:rPr>
      </w:pPr>
    </w:p>
    <w:sectPr w:rsidR="00E36BCB" w:rsidRPr="00E36BCB" w:rsidSect="00E36B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DE6"/>
    <w:multiLevelType w:val="hybridMultilevel"/>
    <w:tmpl w:val="7BF60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BCB"/>
    <w:rsid w:val="0018548D"/>
    <w:rsid w:val="001B5EDF"/>
    <w:rsid w:val="001D6A1A"/>
    <w:rsid w:val="00270089"/>
    <w:rsid w:val="002C3432"/>
    <w:rsid w:val="002D3669"/>
    <w:rsid w:val="002F68D7"/>
    <w:rsid w:val="00317775"/>
    <w:rsid w:val="0033463E"/>
    <w:rsid w:val="0036338F"/>
    <w:rsid w:val="003751C3"/>
    <w:rsid w:val="003E1743"/>
    <w:rsid w:val="00471BA8"/>
    <w:rsid w:val="00504A08"/>
    <w:rsid w:val="00530CB1"/>
    <w:rsid w:val="00583AFC"/>
    <w:rsid w:val="005D4650"/>
    <w:rsid w:val="00751939"/>
    <w:rsid w:val="007745F9"/>
    <w:rsid w:val="007D3788"/>
    <w:rsid w:val="008570CA"/>
    <w:rsid w:val="008B66A5"/>
    <w:rsid w:val="008C1333"/>
    <w:rsid w:val="0091478A"/>
    <w:rsid w:val="009C791F"/>
    <w:rsid w:val="00AC0AFB"/>
    <w:rsid w:val="00AE658B"/>
    <w:rsid w:val="00B459F6"/>
    <w:rsid w:val="00B72186"/>
    <w:rsid w:val="00C20580"/>
    <w:rsid w:val="00C500CC"/>
    <w:rsid w:val="00C93749"/>
    <w:rsid w:val="00DB4675"/>
    <w:rsid w:val="00E36BCB"/>
    <w:rsid w:val="00E377A5"/>
    <w:rsid w:val="00E4279A"/>
    <w:rsid w:val="00EE3876"/>
    <w:rsid w:val="00FA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E36BC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E36BCB"/>
    <w:pPr>
      <w:shd w:val="clear" w:color="auto" w:fill="FFFFFF"/>
      <w:spacing w:after="516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36338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2020-07-14T05:46:00Z</dcterms:created>
  <dcterms:modified xsi:type="dcterms:W3CDTF">2020-07-15T07:53:00Z</dcterms:modified>
</cp:coreProperties>
</file>